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EE58B4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66A5D880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5E2FE68B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  <w:r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  <w:drawing>
          <wp:inline distT="0" distB="0" distL="114300" distR="114300">
            <wp:extent cx="7068820" cy="661035"/>
            <wp:effectExtent l="0" t="0" r="0" b="0"/>
            <wp:docPr id="5" name="图片 5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十四五国规标"/>
                    <pic:cNvPicPr>
                      <a:picLocks noChangeAspect="1"/>
                    </pic:cNvPicPr>
                  </pic:nvPicPr>
                  <pic:blipFill>
                    <a:blip r:embed="rId6"/>
                    <a:srcRect t="46761" b="46627"/>
                    <a:stretch>
                      <a:fillRect/>
                    </a:stretch>
                  </pic:blipFill>
                  <pic:spPr>
                    <a:xfrm>
                      <a:off x="0" y="0"/>
                      <a:ext cx="7068820" cy="66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45871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</w:p>
    <w:p w14:paraId="26881B23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</w:p>
    <w:p w14:paraId="5E81C5F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  <w:r>
        <w:rPr>
          <w:rFonts w:hint="eastAsia" w:ascii="汉仪菱心体简" w:hAnsi="汉仪菱心体简" w:eastAsia="汉仪菱心体简" w:cs="汉仪菱心体简"/>
          <w:i w:val="0"/>
          <w:caps w:val="0"/>
          <w:color w:val="6787B2"/>
          <w:spacing w:val="0"/>
          <w:sz w:val="84"/>
          <w:szCs w:val="84"/>
          <w:shd w:val="clear" w:fill="FFFFFF"/>
          <w:lang w:val="en-US" w:eastAsia="zh-CN"/>
        </w:rPr>
        <w:t>教案</w:t>
      </w:r>
    </w:p>
    <w:p w14:paraId="412EDB9B">
      <w:pPr>
        <w:keepNext/>
        <w:keepLines/>
        <w:spacing w:before="260" w:after="260" w:line="240" w:lineRule="auto"/>
        <w:jc w:val="center"/>
        <w:outlineLvl w:val="1"/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  <w:t>护理</w:t>
      </w: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  <w:lang w:val="en-US" w:eastAsia="zh-CN"/>
        </w:rPr>
        <w:t>伦理</w:t>
      </w: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  <w:t>学</w:t>
      </w:r>
    </w:p>
    <w:p w14:paraId="1DE0F138">
      <w:pPr>
        <w:keepNext/>
        <w:keepLines/>
        <w:spacing w:before="260" w:after="260" w:line="240" w:lineRule="auto"/>
        <w:jc w:val="center"/>
        <w:outlineLvl w:val="1"/>
        <w:rPr>
          <w:rFonts w:hint="default" w:ascii="Times New Roman" w:hAnsi="Times New Roman" w:eastAsia="宋体"/>
          <w:b/>
          <w:bCs/>
          <w:color w:val="2E75B6" w:themeColor="accent1" w:themeShade="BF"/>
          <w:sz w:val="52"/>
          <w:szCs w:val="52"/>
          <w:lang w:val="en-US" w:eastAsia="zh-CN"/>
        </w:rPr>
      </w:pPr>
      <w:r>
        <w:rPr>
          <w:rFonts w:hint="eastAsia" w:ascii="Times New Roman" w:hAnsi="Times New Roman"/>
          <w:b/>
          <w:bCs/>
          <w:color w:val="2E75B6" w:themeColor="accent1" w:themeShade="BF"/>
          <w:sz w:val="52"/>
          <w:szCs w:val="52"/>
          <w:lang w:eastAsia="zh-CN"/>
        </w:rPr>
        <w:t>（</w:t>
      </w:r>
      <w:r>
        <w:rPr>
          <w:rFonts w:hint="eastAsia" w:ascii="Times New Roman" w:hAnsi="Times New Roman"/>
          <w:b/>
          <w:bCs/>
          <w:color w:val="2E75B6" w:themeColor="accent1" w:themeShade="BF"/>
          <w:sz w:val="52"/>
          <w:szCs w:val="52"/>
          <w:lang w:val="en-US" w:eastAsia="zh-CN"/>
        </w:rPr>
        <w:t>第二版）</w:t>
      </w:r>
    </w:p>
    <w:p w14:paraId="7F875E9A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2576892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00F1166D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3D194E08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4CE1FFFF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  <w:r>
        <w:rPr>
          <w:rFonts w:hint="eastAsia" w:ascii="Times New Roman" w:hAnsi="Times New Roman"/>
          <w:b/>
          <w:bCs/>
          <w:color w:val="8FAADC" w:themeColor="accent5" w:themeTint="99"/>
          <w:sz w:val="28"/>
          <w:szCs w:val="28"/>
          <w:lang w:val="en-US" w:eastAsia="zh-CN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北京出版社</w:t>
      </w:r>
    </w:p>
    <w:p w14:paraId="7C01B318">
      <w:pPr>
        <w:pStyle w:val="3"/>
        <w:bidi w:val="0"/>
        <w:jc w:val="center"/>
        <w:rPr>
          <w:rFonts w:hint="eastAsia"/>
          <w:color w:val="6787B2"/>
          <w:lang w:eastAsia="zh-CN"/>
        </w:rPr>
      </w:pPr>
      <w:r>
        <w:rPr>
          <w:rFonts w:hint="eastAsia"/>
          <w:color w:val="6787B2"/>
        </w:rPr>
        <w:t>单元四  整体护理伦理</w:t>
      </w:r>
    </w:p>
    <w:p w14:paraId="613866B1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16" w:lineRule="auto"/>
        <w:ind w:firstLine="643" w:firstLineChars="200"/>
        <w:textAlignment w:val="auto"/>
        <w:rPr>
          <w:rFonts w:hint="eastAsia"/>
        </w:rPr>
      </w:pPr>
      <w:r>
        <w:rPr>
          <w:rFonts w:hint="eastAsia"/>
        </w:rPr>
        <w:t>一、教学基本情况</w:t>
      </w:r>
    </w:p>
    <w:tbl>
      <w:tblPr>
        <w:tblStyle w:val="10"/>
        <w:tblW w:w="107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9"/>
        <w:gridCol w:w="2146"/>
        <w:gridCol w:w="1751"/>
        <w:gridCol w:w="590"/>
        <w:gridCol w:w="1510"/>
        <w:gridCol w:w="57"/>
        <w:gridCol w:w="3089"/>
        <w:gridCol w:w="30"/>
      </w:tblGrid>
      <w:tr w14:paraId="0584B0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shd w:val="clear" w:color="auto" w:fill="9CC2E5"/>
          </w:tcPr>
          <w:p w14:paraId="542E0BBA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bookmarkStart w:id="0" w:name="_Hlk67738882"/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（一）课程概况</w:t>
            </w:r>
          </w:p>
        </w:tc>
      </w:tr>
      <w:tr w14:paraId="2E47D3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599" w:type="dxa"/>
            <w:shd w:val="clear" w:color="auto" w:fill="DEEBF6"/>
            <w:vAlign w:val="center"/>
          </w:tcPr>
          <w:p w14:paraId="4E6FD3A7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课程名称</w:t>
            </w:r>
          </w:p>
        </w:tc>
        <w:tc>
          <w:tcPr>
            <w:tcW w:w="4487" w:type="dxa"/>
            <w:gridSpan w:val="3"/>
            <w:shd w:val="clear" w:color="auto" w:fill="auto"/>
          </w:tcPr>
          <w:p w14:paraId="33179A04">
            <w:pPr>
              <w:spacing w:line="360" w:lineRule="auto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护理伦理学</w:t>
            </w:r>
          </w:p>
        </w:tc>
        <w:tc>
          <w:tcPr>
            <w:tcW w:w="1510" w:type="dxa"/>
            <w:shd w:val="clear" w:color="auto" w:fill="DEEBF6"/>
            <w:vAlign w:val="center"/>
          </w:tcPr>
          <w:p w14:paraId="2B7C57F5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授课对象</w:t>
            </w:r>
          </w:p>
        </w:tc>
        <w:tc>
          <w:tcPr>
            <w:tcW w:w="3176" w:type="dxa"/>
            <w:gridSpan w:val="3"/>
            <w:vAlign w:val="center"/>
          </w:tcPr>
          <w:p w14:paraId="5C4716F0">
            <w:pPr>
              <w:spacing w:line="360" w:lineRule="auto"/>
              <w:jc w:val="both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普专护理学生</w:t>
            </w:r>
          </w:p>
        </w:tc>
      </w:tr>
      <w:tr w14:paraId="460065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599" w:type="dxa"/>
            <w:shd w:val="clear" w:color="auto" w:fill="DEEBF6"/>
            <w:vAlign w:val="center"/>
          </w:tcPr>
          <w:p w14:paraId="147F09FA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课程类型</w:t>
            </w:r>
          </w:p>
        </w:tc>
        <w:tc>
          <w:tcPr>
            <w:tcW w:w="4487" w:type="dxa"/>
            <w:gridSpan w:val="3"/>
            <w:shd w:val="clear" w:color="auto" w:fill="auto"/>
          </w:tcPr>
          <w:p w14:paraId="68AE6E3F">
            <w:pPr>
              <w:spacing w:line="360" w:lineRule="auto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专业拓展课</w:t>
            </w:r>
          </w:p>
        </w:tc>
        <w:tc>
          <w:tcPr>
            <w:tcW w:w="1510" w:type="dxa"/>
            <w:shd w:val="clear" w:color="auto" w:fill="DEEBF6"/>
            <w:vAlign w:val="center"/>
          </w:tcPr>
          <w:p w14:paraId="06C84A18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授课学时</w:t>
            </w:r>
          </w:p>
        </w:tc>
        <w:tc>
          <w:tcPr>
            <w:tcW w:w="3176" w:type="dxa"/>
            <w:gridSpan w:val="3"/>
            <w:vAlign w:val="center"/>
          </w:tcPr>
          <w:p w14:paraId="4CCF4113">
            <w:pPr>
              <w:spacing w:line="360" w:lineRule="auto"/>
              <w:jc w:val="both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2学时（90分钟）</w:t>
            </w:r>
          </w:p>
        </w:tc>
      </w:tr>
      <w:tr w14:paraId="149E9E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599" w:type="dxa"/>
            <w:shd w:val="clear" w:color="auto" w:fill="DEEBF6"/>
            <w:vAlign w:val="center"/>
          </w:tcPr>
          <w:p w14:paraId="1838F895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授课内容</w:t>
            </w:r>
          </w:p>
        </w:tc>
        <w:tc>
          <w:tcPr>
            <w:tcW w:w="4487" w:type="dxa"/>
            <w:gridSpan w:val="3"/>
            <w:shd w:val="clear" w:color="auto" w:fill="auto"/>
          </w:tcPr>
          <w:p w14:paraId="5CA525AC">
            <w:pPr>
              <w:spacing w:line="360" w:lineRule="auto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任务三 心理护理伦理</w:t>
            </w:r>
          </w:p>
          <w:p w14:paraId="46A32481">
            <w:pPr>
              <w:spacing w:line="360" w:lineRule="auto"/>
              <w:rPr>
                <w:rFonts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任务四 健康教育伦理</w:t>
            </w:r>
          </w:p>
        </w:tc>
        <w:tc>
          <w:tcPr>
            <w:tcW w:w="1510" w:type="dxa"/>
            <w:shd w:val="clear" w:color="auto" w:fill="DEEBF6"/>
            <w:vAlign w:val="center"/>
          </w:tcPr>
          <w:p w14:paraId="7BBC4DB7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授课方式</w:t>
            </w:r>
          </w:p>
        </w:tc>
        <w:tc>
          <w:tcPr>
            <w:tcW w:w="3176" w:type="dxa"/>
            <w:gridSpan w:val="3"/>
            <w:vAlign w:val="center"/>
          </w:tcPr>
          <w:p w14:paraId="01FE520E">
            <w:pPr>
              <w:spacing w:line="360" w:lineRule="auto"/>
              <w:jc w:val="both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理论</w:t>
            </w:r>
          </w:p>
        </w:tc>
      </w:tr>
      <w:tr w14:paraId="30FF5B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shd w:val="clear" w:color="auto" w:fill="9CC2E5"/>
          </w:tcPr>
          <w:p w14:paraId="242816CC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（二）教学目标</w:t>
            </w:r>
          </w:p>
        </w:tc>
      </w:tr>
      <w:tr w14:paraId="7F9B92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745" w:type="dxa"/>
            <w:gridSpan w:val="2"/>
            <w:shd w:val="clear" w:color="auto" w:fill="DEEBF6"/>
          </w:tcPr>
          <w:p w14:paraId="4F711964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知识目标</w:t>
            </w:r>
          </w:p>
        </w:tc>
        <w:tc>
          <w:tcPr>
            <w:tcW w:w="3908" w:type="dxa"/>
            <w:gridSpan w:val="4"/>
            <w:shd w:val="clear" w:color="auto" w:fill="DEEBF6"/>
          </w:tcPr>
          <w:p w14:paraId="40E7F655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能力目标</w:t>
            </w:r>
          </w:p>
        </w:tc>
        <w:tc>
          <w:tcPr>
            <w:tcW w:w="3119" w:type="dxa"/>
            <w:gridSpan w:val="2"/>
            <w:shd w:val="clear" w:color="auto" w:fill="DEEBF6"/>
          </w:tcPr>
          <w:p w14:paraId="1DE1EF07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德育目标（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8"/>
                <w:szCs w:val="28"/>
              </w:rPr>
              <w:t>思政</w:t>
            </w: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）</w:t>
            </w:r>
          </w:p>
        </w:tc>
      </w:tr>
      <w:tr w14:paraId="1D4533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745" w:type="dxa"/>
            <w:gridSpan w:val="2"/>
          </w:tcPr>
          <w:p w14:paraId="0E4A19A8">
            <w:pPr>
              <w:numPr>
                <w:ilvl w:val="0"/>
                <w:numId w:val="1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了解心理护理、健康教育伦理的意义</w:t>
            </w:r>
          </w:p>
          <w:p w14:paraId="4BC6F3DC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2.熟悉心理护理、健康教育的特点</w:t>
            </w:r>
          </w:p>
          <w:p w14:paraId="2A8610BF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3.掌握心理护理、健康教育的含义和伦理</w:t>
            </w:r>
          </w:p>
        </w:tc>
        <w:tc>
          <w:tcPr>
            <w:tcW w:w="3908" w:type="dxa"/>
            <w:gridSpan w:val="4"/>
          </w:tcPr>
          <w:p w14:paraId="743D3059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1.学会心理护理、健康教育的伦理规范</w:t>
            </w:r>
          </w:p>
          <w:p w14:paraId="6A74B2AD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2.会利用心理护理、健康教育的伦理规范解决护患中的伦理问题</w:t>
            </w:r>
          </w:p>
          <w:p w14:paraId="4870B628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3119" w:type="dxa"/>
            <w:gridSpan w:val="2"/>
          </w:tcPr>
          <w:p w14:paraId="2708F253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具有良好的心理护理、健康教育的行为素质</w:t>
            </w:r>
          </w:p>
        </w:tc>
      </w:tr>
      <w:tr w14:paraId="6C0858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shd w:val="clear" w:color="auto" w:fill="9CC2E5"/>
          </w:tcPr>
          <w:p w14:paraId="02C8CA5F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（三）学情分析</w:t>
            </w:r>
          </w:p>
        </w:tc>
      </w:tr>
      <w:tr w14:paraId="044D37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vAlign w:val="center"/>
          </w:tcPr>
          <w:p w14:paraId="17383D56">
            <w:pPr>
              <w:spacing w:line="360" w:lineRule="auto"/>
              <w:ind w:firstLine="480" w:firstLineChars="200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普专护理的学生已经学了护理学相关的理论知识，学习了前三个单元的知识，知道了护理伦理学的概述、理论基础和规范体系、护理人际关系伦理。对护理伦理学的理论基础有所提升，需进一步加强心理护理、健康教育的学习。课前进行问卷调研，大部分同学对已学护理伦理学知识掌握程度好，会运用所学伦理知识分析问题，但对于心理护理、健康教育伦理了解较少。 </w:t>
            </w:r>
          </w:p>
          <w:p w14:paraId="6395C902">
            <w:pPr>
              <w:spacing w:line="360" w:lineRule="auto"/>
              <w:ind w:firstLine="480" w:firstLineChars="200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应加强心理护理、健康教育伦理的讲解，培养科学地建立心理护理、健康教育理念。</w:t>
            </w:r>
          </w:p>
        </w:tc>
      </w:tr>
      <w:tr w14:paraId="038093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shd w:val="clear" w:color="auto" w:fill="8DB3E2"/>
          </w:tcPr>
          <w:p w14:paraId="215636C9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  <w:lang w:bidi="ar"/>
              </w:rPr>
              <w:t>（四）教学方法</w:t>
            </w:r>
          </w:p>
        </w:tc>
      </w:tr>
      <w:tr w14:paraId="2061FA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42" w:hRule="atLeast"/>
          <w:jc w:val="center"/>
        </w:trPr>
        <w:tc>
          <w:tcPr>
            <w:tcW w:w="10772" w:type="dxa"/>
            <w:gridSpan w:val="8"/>
            <w:vAlign w:val="center"/>
          </w:tcPr>
          <w:p w14:paraId="0588AAA9">
            <w:pPr>
              <w:spacing w:line="360" w:lineRule="auto"/>
              <w:ind w:firstLine="480" w:firstLineChars="200"/>
              <w:rPr>
                <w:rFonts w:hint="eastAsia" w:ascii="仿宋" w:hAnsi="仿宋" w:eastAsia="仿宋" w:cs="仿宋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sz w:val="24"/>
                <w:lang w:bidi="ar"/>
              </w:rPr>
              <w:t>案例导入法、小组教学法、多维评价教学法</w:t>
            </w:r>
          </w:p>
        </w:tc>
      </w:tr>
      <w:tr w14:paraId="6B0031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shd w:val="clear" w:color="auto" w:fill="8DB3E2"/>
          </w:tcPr>
          <w:p w14:paraId="69DD5484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  <w:lang w:bidi="ar"/>
              </w:rPr>
              <w:t>（五）教学手段</w:t>
            </w:r>
          </w:p>
        </w:tc>
      </w:tr>
      <w:tr w14:paraId="1C09DC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7" w:hRule="atLeast"/>
          <w:jc w:val="center"/>
        </w:trPr>
        <w:tc>
          <w:tcPr>
            <w:tcW w:w="10772" w:type="dxa"/>
            <w:gridSpan w:val="8"/>
            <w:vAlign w:val="center"/>
          </w:tcPr>
          <w:p w14:paraId="017FB9DC">
            <w:pPr>
              <w:spacing w:line="360" w:lineRule="auto"/>
              <w:ind w:firstLine="480" w:firstLineChars="200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  <w:lang w:bidi="ar"/>
              </w:rPr>
              <w:t>多媒体课件、思维导图、板书、论文、微课</w:t>
            </w:r>
          </w:p>
        </w:tc>
      </w:tr>
      <w:tr w14:paraId="3DB40F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shd w:val="clear" w:color="auto" w:fill="9CC2E5"/>
          </w:tcPr>
          <w:p w14:paraId="416E40AD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（六）教学内容安排</w:t>
            </w:r>
          </w:p>
        </w:tc>
      </w:tr>
      <w:tr w14:paraId="5F47B2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</w:tcPr>
          <w:p w14:paraId="3FC32074">
            <w:pPr>
              <w:spacing w:line="360" w:lineRule="auto"/>
              <w:ind w:firstLine="480" w:firstLineChars="200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知识回顾                             4min</w:t>
            </w:r>
          </w:p>
          <w:p w14:paraId="3BC0C726">
            <w:pPr>
              <w:spacing w:line="360" w:lineRule="auto"/>
              <w:ind w:firstLine="480" w:firstLineChars="200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案例导入                             3min</w:t>
            </w:r>
          </w:p>
          <w:p w14:paraId="6DA4E1CE">
            <w:pPr>
              <w:spacing w:line="360" w:lineRule="auto"/>
              <w:ind w:firstLine="480" w:firstLineChars="200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心理护理伦理                         40min</w:t>
            </w:r>
          </w:p>
          <w:p w14:paraId="69779657">
            <w:pPr>
              <w:spacing w:line="360" w:lineRule="auto"/>
              <w:ind w:firstLine="480" w:firstLineChars="200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健康教育伦理                         38min</w:t>
            </w:r>
          </w:p>
          <w:p w14:paraId="2BCF8736">
            <w:pPr>
              <w:spacing w:line="360" w:lineRule="auto"/>
              <w:ind w:firstLine="480" w:firstLineChars="200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总结                                 3min</w:t>
            </w:r>
          </w:p>
          <w:p w14:paraId="5382E2E8">
            <w:pPr>
              <w:spacing w:line="360" w:lineRule="auto"/>
              <w:ind w:firstLine="480" w:firstLineChars="200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作业                                 2min</w:t>
            </w:r>
          </w:p>
        </w:tc>
      </w:tr>
      <w:tr w14:paraId="6EB89C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5496" w:type="dxa"/>
            <w:gridSpan w:val="3"/>
            <w:shd w:val="clear" w:color="auto" w:fill="DEEAF6"/>
          </w:tcPr>
          <w:p w14:paraId="5C8F1905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教学重点</w:t>
            </w:r>
          </w:p>
        </w:tc>
        <w:tc>
          <w:tcPr>
            <w:tcW w:w="5276" w:type="dxa"/>
            <w:gridSpan w:val="5"/>
            <w:shd w:val="clear" w:color="auto" w:fill="DEEAF6"/>
            <w:vAlign w:val="center"/>
          </w:tcPr>
          <w:p w14:paraId="78BFBCBD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教学难点</w:t>
            </w:r>
          </w:p>
        </w:tc>
      </w:tr>
      <w:tr w14:paraId="56C8E9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5496" w:type="dxa"/>
            <w:gridSpan w:val="3"/>
            <w:vAlign w:val="center"/>
          </w:tcPr>
          <w:p w14:paraId="3B547A60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1.心理护理、健康教育伦理规范</w:t>
            </w:r>
          </w:p>
          <w:p w14:paraId="32E78AD2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2.心理护理特点</w:t>
            </w:r>
          </w:p>
          <w:p w14:paraId="77C55AE0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3.健康教育护理特点</w:t>
            </w:r>
          </w:p>
          <w:p w14:paraId="693C333E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对策：</w:t>
            </w:r>
          </w:p>
          <w:p w14:paraId="4586B2B5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课前：</w:t>
            </w:r>
            <w:r>
              <w:rPr>
                <w:rFonts w:hint="eastAsia" w:ascii="仿宋" w:hAnsi="仿宋" w:eastAsia="仿宋" w:cs="仿宋"/>
                <w:sz w:val="24"/>
              </w:rPr>
              <w:t>问卷调研分析学情，对护理人际关系伦理了解不足；在职教云上传相关微课。</w:t>
            </w:r>
          </w:p>
          <w:p w14:paraId="5B8293C8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课中：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lang w:eastAsia="zh-Hans"/>
              </w:rPr>
              <w:t>通过</w:t>
            </w: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案例导入、小组讨论、微辩论、记忆口诀等解决教学重点解决重点内容</w:t>
            </w:r>
            <w:r>
              <w:rPr>
                <w:rFonts w:hint="eastAsia" w:ascii="仿宋" w:hAnsi="仿宋" w:eastAsia="仿宋" w:cs="仿宋"/>
                <w:sz w:val="24"/>
              </w:rPr>
              <w:t>。</w:t>
            </w:r>
          </w:p>
          <w:p w14:paraId="3B6C4B2E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课下：</w:t>
            </w:r>
            <w:r>
              <w:rPr>
                <w:rFonts w:hint="eastAsia" w:ascii="仿宋" w:hAnsi="仿宋" w:eastAsia="仿宋" w:cs="仿宋"/>
                <w:sz w:val="24"/>
              </w:rPr>
              <w:t>线上布置任务，完成习题作业和线上答疑。</w:t>
            </w:r>
          </w:p>
        </w:tc>
        <w:tc>
          <w:tcPr>
            <w:tcW w:w="5276" w:type="dxa"/>
            <w:gridSpan w:val="5"/>
            <w:vAlign w:val="center"/>
          </w:tcPr>
          <w:p w14:paraId="448CF04A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整心理护理、健康教育伦理规范应用</w:t>
            </w:r>
          </w:p>
          <w:p w14:paraId="6DEB12C8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6E3C82EE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对策：</w:t>
            </w:r>
          </w:p>
          <w:p w14:paraId="2277E377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课前：</w:t>
            </w:r>
            <w:r>
              <w:rPr>
                <w:rFonts w:hint="eastAsia" w:ascii="仿宋" w:hAnsi="仿宋" w:eastAsia="仿宋" w:cs="仿宋"/>
                <w:sz w:val="24"/>
              </w:rPr>
              <w:t>问卷调研分析学情，明确教学难点。职教云上传相关微课，布置课前预习任务。</w:t>
            </w:r>
          </w:p>
          <w:p w14:paraId="6C5E2192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课中：教师讲授、案例分析、启发诱导、小组讨论</w:t>
            </w:r>
            <w:r>
              <w:rPr>
                <w:rFonts w:hint="eastAsia" w:ascii="仿宋" w:hAnsi="仿宋" w:eastAsia="仿宋" w:cs="仿宋"/>
                <w:sz w:val="24"/>
              </w:rPr>
              <w:t>。</w:t>
            </w:r>
          </w:p>
          <w:p w14:paraId="723AD9F8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课下：</w:t>
            </w:r>
            <w:r>
              <w:rPr>
                <w:rFonts w:hint="eastAsia" w:ascii="仿宋" w:hAnsi="仿宋" w:eastAsia="仿宋" w:cs="仿宋"/>
                <w:sz w:val="24"/>
              </w:rPr>
              <w:t>线上布置任务，完成习题作业和线上答疑。</w:t>
            </w:r>
          </w:p>
        </w:tc>
      </w:tr>
      <w:tr w14:paraId="449FDA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shd w:val="clear" w:color="auto" w:fill="9CC2E5"/>
          </w:tcPr>
          <w:p w14:paraId="74BAFD99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（七）教学方法与资源</w:t>
            </w:r>
          </w:p>
        </w:tc>
      </w:tr>
      <w:tr w14:paraId="12B684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30" w:type="dxa"/>
          <w:trHeight w:val="567" w:hRule="atLeast"/>
          <w:jc w:val="center"/>
        </w:trPr>
        <w:tc>
          <w:tcPr>
            <w:tcW w:w="5496" w:type="dxa"/>
            <w:gridSpan w:val="3"/>
            <w:shd w:val="clear" w:color="auto" w:fill="DEEAF6"/>
          </w:tcPr>
          <w:p w14:paraId="439DC7BA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使用教材及主要参考教材</w:t>
            </w:r>
          </w:p>
        </w:tc>
        <w:tc>
          <w:tcPr>
            <w:tcW w:w="5246" w:type="dxa"/>
            <w:gridSpan w:val="4"/>
            <w:shd w:val="clear" w:color="auto" w:fill="DEEAF6"/>
          </w:tcPr>
          <w:p w14:paraId="1704156C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其他</w:t>
            </w:r>
          </w:p>
        </w:tc>
      </w:tr>
      <w:tr w14:paraId="1253AD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30" w:type="dxa"/>
          <w:trHeight w:val="567" w:hRule="atLeast"/>
          <w:jc w:val="center"/>
        </w:trPr>
        <w:tc>
          <w:tcPr>
            <w:tcW w:w="5496" w:type="dxa"/>
            <w:gridSpan w:val="3"/>
          </w:tcPr>
          <w:p w14:paraId="7F046D7E">
            <w:pPr>
              <w:spacing w:line="360" w:lineRule="auto"/>
              <w:jc w:val="left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仿宋" w:hAnsi="仿宋" w:eastAsia="仿宋" w:cs="仿宋"/>
                <w:b/>
                <w:bCs/>
                <w:sz w:val="28"/>
                <w:szCs w:val="28"/>
              </w:rPr>
              <w:drawing>
                <wp:inline distT="0" distB="0" distL="114300" distR="114300">
                  <wp:extent cx="971550" cy="1320800"/>
                  <wp:effectExtent l="0" t="0" r="0" b="12700"/>
                  <wp:docPr id="11" name="图片 1" descr="847b241cda15149b93766219ff89d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" descr="847b241cda15149b93766219ff89d7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132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 xml:space="preserve">   </w:t>
            </w:r>
            <w:r>
              <w:rPr>
                <w:rFonts w:ascii="仿宋" w:hAnsi="仿宋" w:eastAsia="仿宋" w:cs="仿宋"/>
                <w:b/>
                <w:bCs/>
                <w:sz w:val="28"/>
                <w:szCs w:val="28"/>
              </w:rPr>
              <w:drawing>
                <wp:inline distT="0" distB="0" distL="114300" distR="114300">
                  <wp:extent cx="952500" cy="1289050"/>
                  <wp:effectExtent l="0" t="0" r="0" b="6350"/>
                  <wp:docPr id="2" name="图片 2" descr="1629788608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1629788608(1)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128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E977AD">
            <w:pPr>
              <w:spacing w:line="360" w:lineRule="auto"/>
              <w:jc w:val="left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仿宋" w:hAnsi="仿宋" w:eastAsia="仿宋" w:cs="仿宋"/>
                <w:b/>
                <w:bCs/>
                <w:sz w:val="28"/>
                <w:szCs w:val="28"/>
              </w:rPr>
              <w:drawing>
                <wp:inline distT="0" distB="0" distL="114300" distR="114300">
                  <wp:extent cx="869950" cy="1301750"/>
                  <wp:effectExtent l="0" t="0" r="6350" b="12700"/>
                  <wp:docPr id="4" name="图片 3" descr="1629788927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 descr="1629788927(1)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950" cy="130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 xml:space="preserve">    </w:t>
            </w:r>
            <w:r>
              <w:rPr>
                <w:rFonts w:ascii="仿宋" w:hAnsi="仿宋" w:eastAsia="仿宋" w:cs="仿宋"/>
                <w:b/>
                <w:bCs/>
                <w:sz w:val="28"/>
                <w:szCs w:val="28"/>
              </w:rPr>
              <w:drawing>
                <wp:inline distT="0" distB="0" distL="114300" distR="114300">
                  <wp:extent cx="876300" cy="1238250"/>
                  <wp:effectExtent l="0" t="0" r="0" b="0"/>
                  <wp:docPr id="12" name="图片 4" descr="1629798548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4" descr="1629798548(1)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6" w:type="dxa"/>
            <w:gridSpan w:val="4"/>
          </w:tcPr>
          <w:p w14:paraId="02A12043">
            <w:pPr>
              <w:spacing w:line="360" w:lineRule="auto"/>
              <w:jc w:val="left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 xml:space="preserve">  </w:t>
            </w:r>
            <w:r>
              <w:rPr>
                <w:rFonts w:ascii="仿宋" w:hAnsi="仿宋" w:eastAsia="仿宋" w:cs="仿宋"/>
                <w:b/>
                <w:bCs/>
                <w:sz w:val="28"/>
                <w:szCs w:val="28"/>
              </w:rPr>
              <w:drawing>
                <wp:inline distT="0" distB="0" distL="114300" distR="114300">
                  <wp:extent cx="1117600" cy="863600"/>
                  <wp:effectExtent l="0" t="0" r="6350" b="12700"/>
                  <wp:docPr id="9" name="图片 5" descr="1620189801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5" descr="1620189801(1)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00" cy="8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 xml:space="preserve">         </w:t>
            </w:r>
            <w:r>
              <w:rPr>
                <w:rFonts w:ascii="仿宋" w:hAnsi="仿宋" w:eastAsia="仿宋" w:cs="仿宋"/>
                <w:b/>
                <w:bCs/>
                <w:sz w:val="28"/>
                <w:szCs w:val="28"/>
              </w:rPr>
              <w:drawing>
                <wp:inline distT="0" distB="0" distL="114300" distR="114300">
                  <wp:extent cx="762000" cy="762000"/>
                  <wp:effectExtent l="0" t="0" r="0" b="0"/>
                  <wp:docPr id="1" name="图片 6" descr="1620189909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6" descr="1620189909(1)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5F59D7">
            <w:pPr>
              <w:spacing w:line="360" w:lineRule="auto"/>
              <w:jc w:val="left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 xml:space="preserve">  </w:t>
            </w:r>
          </w:p>
          <w:p w14:paraId="37069375">
            <w:pPr>
              <w:spacing w:line="360" w:lineRule="auto"/>
              <w:jc w:val="left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 xml:space="preserve">    </w:t>
            </w:r>
            <w:r>
              <w:rPr>
                <w:rFonts w:ascii="仿宋" w:hAnsi="仿宋" w:eastAsia="仿宋" w:cs="仿宋"/>
                <w:b/>
                <w:bCs/>
                <w:sz w:val="28"/>
                <w:szCs w:val="28"/>
              </w:rPr>
              <w:drawing>
                <wp:inline distT="0" distB="0" distL="114300" distR="114300">
                  <wp:extent cx="2310130" cy="965835"/>
                  <wp:effectExtent l="0" t="0" r="0" b="0"/>
                  <wp:docPr id="10" name="图片 7" descr="1620189844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7" descr="1620189844(1)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r="1439" b="30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0130" cy="965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342150">
      <w:pPr>
        <w:rPr>
          <w:rFonts w:hint="eastAsia"/>
        </w:rPr>
      </w:pPr>
    </w:p>
    <w:p w14:paraId="7ADD0FDD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16" w:lineRule="auto"/>
        <w:ind w:firstLine="643" w:firstLineChars="200"/>
        <w:textAlignment w:val="auto"/>
      </w:pPr>
      <w:r>
        <w:rPr>
          <w:rFonts w:hint="eastAsia"/>
        </w:rPr>
        <w:t>二、教学实施过程</w:t>
      </w:r>
      <w:bookmarkEnd w:id="0"/>
    </w:p>
    <w:tbl>
      <w:tblPr>
        <w:tblStyle w:val="10"/>
        <w:tblW w:w="107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01"/>
        <w:gridCol w:w="3078"/>
        <w:gridCol w:w="2462"/>
        <w:gridCol w:w="3231"/>
      </w:tblGrid>
      <w:tr w14:paraId="580B62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4"/>
            <w:shd w:val="clear" w:color="auto" w:fill="9CC2E5"/>
            <w:vAlign w:val="top"/>
          </w:tcPr>
          <w:p w14:paraId="583A84F4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（一）课前导学习</w:t>
            </w:r>
          </w:p>
        </w:tc>
      </w:tr>
      <w:tr w14:paraId="23D66F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shd w:val="clear" w:color="auto" w:fill="DEEBF6"/>
            <w:vAlign w:val="top"/>
          </w:tcPr>
          <w:p w14:paraId="47E0DE99">
            <w:pPr>
              <w:spacing w:line="360" w:lineRule="auto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教学内容</w:t>
            </w:r>
          </w:p>
        </w:tc>
        <w:tc>
          <w:tcPr>
            <w:tcW w:w="3078" w:type="dxa"/>
            <w:shd w:val="clear" w:color="auto" w:fill="DEEBF6"/>
            <w:vAlign w:val="top"/>
          </w:tcPr>
          <w:p w14:paraId="18C85BE4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教师活动</w:t>
            </w:r>
          </w:p>
        </w:tc>
        <w:tc>
          <w:tcPr>
            <w:tcW w:w="2462" w:type="dxa"/>
            <w:shd w:val="clear" w:color="auto" w:fill="DEEBF6"/>
            <w:vAlign w:val="top"/>
          </w:tcPr>
          <w:p w14:paraId="5979F82B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学生活动</w:t>
            </w:r>
          </w:p>
        </w:tc>
        <w:tc>
          <w:tcPr>
            <w:tcW w:w="3231" w:type="dxa"/>
            <w:shd w:val="clear" w:color="auto" w:fill="DEEBF6"/>
            <w:vAlign w:val="top"/>
          </w:tcPr>
          <w:p w14:paraId="37326842">
            <w:pPr>
              <w:spacing w:line="360" w:lineRule="auto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设计意图</w:t>
            </w:r>
          </w:p>
        </w:tc>
      </w:tr>
      <w:tr w14:paraId="1CC4FE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vAlign w:val="top"/>
          </w:tcPr>
          <w:p w14:paraId="74773B86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护理伦理学</w:t>
            </w:r>
          </w:p>
          <w:p w14:paraId="1D3369E2">
            <w:pPr>
              <w:spacing w:line="360" w:lineRule="auto"/>
              <w:ind w:firstLine="240" w:firstLineChars="100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--心理护理、健康教育伦理</w:t>
            </w:r>
          </w:p>
        </w:tc>
        <w:tc>
          <w:tcPr>
            <w:tcW w:w="3078" w:type="dxa"/>
            <w:vAlign w:val="top"/>
          </w:tcPr>
          <w:p w14:paraId="5871D3A6">
            <w:pPr>
              <w:numPr>
                <w:ilvl w:val="0"/>
                <w:numId w:val="2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课前发布学习任务与测验题</w:t>
            </w:r>
          </w:p>
          <w:p w14:paraId="21D16B43">
            <w:pPr>
              <w:numPr>
                <w:ilvl w:val="0"/>
                <w:numId w:val="2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教师教学平台区答疑</w:t>
            </w:r>
          </w:p>
          <w:p w14:paraId="7A0CA8A7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52AEFB2A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3.学情分析</w:t>
            </w:r>
          </w:p>
        </w:tc>
        <w:tc>
          <w:tcPr>
            <w:tcW w:w="2462" w:type="dxa"/>
            <w:vAlign w:val="top"/>
          </w:tcPr>
          <w:p w14:paraId="1DE654B3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</w:t>
            </w:r>
            <w:r>
              <w:rPr>
                <w:rFonts w:ascii="仿宋" w:hAnsi="仿宋" w:eastAsia="仿宋" w:cs="仿宋"/>
                <w:sz w:val="24"/>
              </w:rPr>
              <w:t>.</w:t>
            </w:r>
            <w:r>
              <w:rPr>
                <w:rFonts w:hint="eastAsia" w:ascii="仿宋" w:hAnsi="仿宋" w:eastAsia="仿宋" w:cs="仿宋"/>
                <w:sz w:val="24"/>
              </w:rPr>
              <w:t xml:space="preserve">教学平台完成学习任务和测验题     </w:t>
            </w:r>
          </w:p>
          <w:p w14:paraId="284C13B9">
            <w:pPr>
              <w:numPr>
                <w:ilvl w:val="0"/>
                <w:numId w:val="3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学生教学平台区提出疑难点</w:t>
            </w:r>
          </w:p>
          <w:p w14:paraId="099D58A2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3.完成调查问卷        </w:t>
            </w:r>
          </w:p>
        </w:tc>
        <w:tc>
          <w:tcPr>
            <w:tcW w:w="3231" w:type="dxa"/>
            <w:vAlign w:val="top"/>
          </w:tcPr>
          <w:p w14:paraId="745DE9B5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1.培养学生自主学习能力</w:t>
            </w:r>
          </w:p>
          <w:p w14:paraId="51DBC10F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768A4379">
            <w:pPr>
              <w:numPr>
                <w:ilvl w:val="0"/>
                <w:numId w:val="4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调整教学策略</w:t>
            </w:r>
          </w:p>
          <w:p w14:paraId="314B6FCB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360C9BE2">
            <w:pPr>
              <w:numPr>
                <w:ilvl w:val="0"/>
                <w:numId w:val="4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指导教师进行针对性教学设计</w:t>
            </w:r>
          </w:p>
        </w:tc>
      </w:tr>
      <w:tr w14:paraId="18612F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4"/>
            <w:shd w:val="clear" w:color="auto" w:fill="9CC2E5"/>
            <w:vAlign w:val="top"/>
          </w:tcPr>
          <w:p w14:paraId="4C634BD6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（二）课中授新知</w:t>
            </w:r>
          </w:p>
        </w:tc>
      </w:tr>
      <w:tr w14:paraId="72D2C9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shd w:val="clear" w:color="auto" w:fill="DEEAF6"/>
            <w:vAlign w:val="top"/>
          </w:tcPr>
          <w:p w14:paraId="63663F65">
            <w:pPr>
              <w:spacing w:line="360" w:lineRule="auto"/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教学内容</w:t>
            </w:r>
          </w:p>
        </w:tc>
        <w:tc>
          <w:tcPr>
            <w:tcW w:w="3078" w:type="dxa"/>
            <w:shd w:val="clear" w:color="auto" w:fill="DEEAF6"/>
            <w:vAlign w:val="top"/>
          </w:tcPr>
          <w:p w14:paraId="649ADFC1">
            <w:pPr>
              <w:spacing w:line="360" w:lineRule="auto"/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教师活动</w:t>
            </w:r>
          </w:p>
        </w:tc>
        <w:tc>
          <w:tcPr>
            <w:tcW w:w="2462" w:type="dxa"/>
            <w:shd w:val="clear" w:color="auto" w:fill="DEEAF6"/>
            <w:vAlign w:val="top"/>
          </w:tcPr>
          <w:p w14:paraId="2486D5B1">
            <w:pPr>
              <w:spacing w:line="360" w:lineRule="auto"/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学生活动</w:t>
            </w:r>
          </w:p>
        </w:tc>
        <w:tc>
          <w:tcPr>
            <w:tcW w:w="3231" w:type="dxa"/>
            <w:shd w:val="clear" w:color="auto" w:fill="DEEAF6"/>
            <w:vAlign w:val="top"/>
          </w:tcPr>
          <w:p w14:paraId="63C0B453">
            <w:pPr>
              <w:spacing w:line="360" w:lineRule="auto"/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设计意图</w:t>
            </w:r>
          </w:p>
        </w:tc>
      </w:tr>
      <w:tr w14:paraId="0E3A94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shd w:val="clear" w:color="auto" w:fill="auto"/>
            <w:vAlign w:val="top"/>
          </w:tcPr>
          <w:p w14:paraId="7D53FA1E">
            <w:pPr>
              <w:spacing w:line="360" w:lineRule="auto"/>
              <w:rPr>
                <w:rFonts w:hint="eastAsia"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知识回顾</w:t>
            </w:r>
          </w:p>
          <w:p w14:paraId="0C878EC9">
            <w:pPr>
              <w:spacing w:line="360" w:lineRule="auto"/>
            </w:pPr>
            <w:r>
              <w:rPr>
                <w:rFonts w:hint="eastAsia" w:ascii="仿宋" w:hAnsi="仿宋" w:eastAsia="仿宋" w:cs="仿宋"/>
                <w:sz w:val="24"/>
              </w:rPr>
              <w:t xml:space="preserve">   </w:t>
            </w:r>
            <w:r>
              <w:rPr>
                <w:rFonts w:ascii="仿宋" w:hAnsi="仿宋" w:eastAsia="仿宋" w:cs="仿宋"/>
                <w:sz w:val="24"/>
              </w:rPr>
              <w:drawing>
                <wp:inline distT="0" distB="0" distL="114300" distR="114300">
                  <wp:extent cx="1009650" cy="920750"/>
                  <wp:effectExtent l="0" t="0" r="0" b="12700"/>
                  <wp:docPr id="13" name="图片 8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8" descr="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t="23860" r="618" b="323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92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sz w:val="24"/>
              </w:rPr>
              <w:t xml:space="preserve">                                                </w:t>
            </w:r>
            <w:r>
              <w:rPr>
                <w:rFonts w:ascii="仿宋" w:hAnsi="仿宋" w:eastAsia="仿宋" w:cs="仿宋"/>
                <w:sz w:val="24"/>
              </w:rPr>
              <w:t xml:space="preserve">                  </w:t>
            </w:r>
          </w:p>
        </w:tc>
        <w:tc>
          <w:tcPr>
            <w:tcW w:w="3078" w:type="dxa"/>
            <w:shd w:val="clear" w:color="auto" w:fill="auto"/>
            <w:vAlign w:val="top"/>
          </w:tcPr>
          <w:p w14:paraId="477D5CBB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1.思维导图呈现前三章知识框架</w:t>
            </w:r>
          </w:p>
          <w:p w14:paraId="2F5B561D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2.回顾前三章重要内容</w:t>
            </w:r>
          </w:p>
          <w:p w14:paraId="5E036AC1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2462" w:type="dxa"/>
            <w:shd w:val="clear" w:color="auto" w:fill="FFFFFF"/>
            <w:vAlign w:val="top"/>
          </w:tcPr>
          <w:p w14:paraId="44234E3F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结合思维导图回顾前期学习相关内容</w:t>
            </w:r>
          </w:p>
          <w:p w14:paraId="197DA274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3231" w:type="dxa"/>
            <w:vAlign w:val="top"/>
          </w:tcPr>
          <w:p w14:paraId="03CDEE46">
            <w:pPr>
              <w:spacing w:line="360" w:lineRule="auto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思维导图脉络清晰，温故知新，为学习新知识做准备</w:t>
            </w:r>
          </w:p>
        </w:tc>
      </w:tr>
      <w:tr w14:paraId="78337D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vAlign w:val="top"/>
          </w:tcPr>
          <w:p w14:paraId="785BE3E5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案例导入</w:t>
            </w:r>
          </w:p>
          <w:p w14:paraId="7842B608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324E5C33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3078" w:type="dxa"/>
            <w:vAlign w:val="top"/>
          </w:tcPr>
          <w:p w14:paraId="0333DDC8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患者王女士，46岁，因患骨髓炎入院1周多，每日需给抗生素静脉点滴治疗。因多日注射，静脉难穿刺，王女士对护理要求较高。今日年轻护士小李推车来到王女士床边。</w:t>
            </w:r>
          </w:p>
          <w:p w14:paraId="77CFFF8B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小李：您好！今天我给您输液。</w:t>
            </w:r>
          </w:p>
          <w:p w14:paraId="018B790E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王女士：我静脉不好扎，我怕疼，你有把握一针成功吗？</w:t>
            </w:r>
          </w:p>
          <w:p w14:paraId="5EAFB45F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小李：不能。但我会尽力的。</w:t>
            </w:r>
          </w:p>
          <w:p w14:paraId="15A799C0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王女士：那请护士长来打吧。</w:t>
            </w:r>
          </w:p>
        </w:tc>
        <w:tc>
          <w:tcPr>
            <w:tcW w:w="2462" w:type="dxa"/>
            <w:vAlign w:val="top"/>
          </w:tcPr>
          <w:p w14:paraId="59C215A4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  <w:lang w:eastAsia="zh-Hans"/>
              </w:rPr>
              <w:t>思考案例</w:t>
            </w:r>
            <w:r>
              <w:rPr>
                <w:rFonts w:hint="eastAsia" w:ascii="仿宋" w:hAnsi="仿宋" w:eastAsia="仿宋" w:cs="仿宋"/>
                <w:sz w:val="24"/>
              </w:rPr>
              <w:t>，明确任务，做好准备。</w:t>
            </w:r>
          </w:p>
        </w:tc>
        <w:tc>
          <w:tcPr>
            <w:tcW w:w="3231" w:type="dxa"/>
            <w:vAlign w:val="top"/>
          </w:tcPr>
          <w:p w14:paraId="05C52BF1">
            <w:pPr>
              <w:spacing w:line="360" w:lineRule="auto"/>
              <w:rPr>
                <w:rFonts w:ascii="仿宋" w:hAnsi="仿宋" w:eastAsia="仿宋" w:cs="仿宋"/>
                <w:b/>
                <w:bCs/>
                <w:color w:val="FF0000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  <w:lang w:eastAsia="zh-Hans"/>
              </w:rPr>
              <w:t>以典型临床工作案例导入教学，对接工作岗位，激发学生学习兴趣</w:t>
            </w:r>
            <w:r>
              <w:rPr>
                <w:rFonts w:hint="eastAsia" w:ascii="仿宋" w:hAnsi="仿宋" w:eastAsia="仿宋" w:cs="仿宋"/>
                <w:sz w:val="24"/>
              </w:rPr>
              <w:t>。</w:t>
            </w:r>
          </w:p>
        </w:tc>
      </w:tr>
      <w:tr w14:paraId="0A8569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vAlign w:val="top"/>
          </w:tcPr>
          <w:p w14:paraId="4701BD18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心理护理伦理</w:t>
            </w:r>
          </w:p>
          <w:p w14:paraId="6C66F4B2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074FC404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476B0792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6A65D6CE">
            <w:pPr>
              <w:spacing w:line="360" w:lineRule="auto"/>
              <w:jc w:val="left"/>
              <w:rPr>
                <w:rFonts w:hint="eastAsia" w:ascii="仿宋" w:hAnsi="仿宋" w:eastAsia="仿宋" w:cs="仿宋"/>
                <w:sz w:val="24"/>
              </w:rPr>
            </w:pPr>
            <w:r>
              <w:rPr>
                <w:rFonts w:ascii="仿宋" w:hAnsi="仿宋" w:eastAsia="仿宋" w:cs="仿宋"/>
                <w:sz w:val="24"/>
              </w:rPr>
              <w:drawing>
                <wp:inline distT="0" distB="0" distL="114300" distR="114300">
                  <wp:extent cx="1009650" cy="2108200"/>
                  <wp:effectExtent l="0" t="0" r="0" b="6350"/>
                  <wp:docPr id="16" name="图片 9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9" descr="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t="23860" r="618" b="323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210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  <w:vAlign w:val="top"/>
          </w:tcPr>
          <w:p w14:paraId="5FEE8BA7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1.讲解心理护理的含义、特点</w:t>
            </w:r>
          </w:p>
          <w:p w14:paraId="5D70784F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3EC44518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0A9B6DC2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2.提供学生案例，让学生分析心理护理的伦理规范有哪些</w:t>
            </w:r>
          </w:p>
          <w:p w14:paraId="07CE5C42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12B60CF9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6D1C5A63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3.结合学生分析结果及案例归纳讲解心理护理的伦理规范</w:t>
            </w:r>
          </w:p>
          <w:p w14:paraId="73C46F10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2462" w:type="dxa"/>
            <w:vAlign w:val="top"/>
          </w:tcPr>
          <w:p w14:paraId="51E5B69E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1.聆听、思考</w:t>
            </w:r>
          </w:p>
          <w:p w14:paraId="749BA456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11FC6863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1B3D5C3C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1C081B1A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2.案例分析、小组讨论</w:t>
            </w:r>
          </w:p>
          <w:p w14:paraId="7E047BD9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0D103802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42416816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6242F925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3.思考、启发回答、知识内化</w:t>
            </w:r>
          </w:p>
        </w:tc>
        <w:tc>
          <w:tcPr>
            <w:tcW w:w="3231" w:type="dxa"/>
            <w:vAlign w:val="top"/>
          </w:tcPr>
          <w:p w14:paraId="3E5CE286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按照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4"/>
              </w:rPr>
              <w:t>“含义”-“特点”</w:t>
            </w:r>
            <w:r>
              <w:rPr>
                <w:rFonts w:hint="eastAsia" w:ascii="仿宋" w:hAnsi="仿宋" w:eastAsia="仿宋" w:cs="仿宋"/>
                <w:sz w:val="24"/>
              </w:rPr>
              <w:t>的思路讲授整体护理的伦理内容，条例清楚，易于学生理解。</w:t>
            </w:r>
          </w:p>
          <w:p w14:paraId="0C6AFF9B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案例分析、小组讨论，学生积极参与，培养学生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4"/>
              </w:rPr>
              <w:t>思考问题、解决问题、团结协作的能力。</w:t>
            </w:r>
          </w:p>
          <w:p w14:paraId="7FDC9760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6C120637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结合学生案例分析结果、教师归纳讲解使知识体系更完整，也易于学生理解和掌握。通过心理护理伦理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4"/>
              </w:rPr>
              <w:t>启发学生谨记护理人员的基本职责是：促进健康，预防疾病，恢复健康，减少痛苦护理要从人道主义出发，着眼于患者，既要重视患者的生理因素，又要重视患者的心理因素。</w:t>
            </w:r>
          </w:p>
        </w:tc>
      </w:tr>
      <w:tr w14:paraId="28E876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vAlign w:val="top"/>
          </w:tcPr>
          <w:p w14:paraId="7352B2C0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健康教育伦理</w:t>
            </w:r>
          </w:p>
          <w:p w14:paraId="3B1E3E33">
            <w:pPr>
              <w:spacing w:line="360" w:lineRule="auto"/>
              <w:jc w:val="left"/>
              <w:rPr>
                <w:rFonts w:hint="eastAsia" w:ascii="仿宋" w:hAnsi="仿宋" w:eastAsia="仿宋" w:cs="仿宋"/>
                <w:sz w:val="24"/>
              </w:rPr>
            </w:pPr>
            <w:r>
              <w:rPr>
                <w:rFonts w:ascii="仿宋" w:hAnsi="仿宋" w:eastAsia="仿宋" w:cs="仿宋"/>
                <w:sz w:val="24"/>
              </w:rPr>
              <w:drawing>
                <wp:inline distT="0" distB="0" distL="114300" distR="114300">
                  <wp:extent cx="1009650" cy="920750"/>
                  <wp:effectExtent l="0" t="0" r="0" b="12700"/>
                  <wp:docPr id="14" name="图片 10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0" descr="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t="23860" r="618" b="323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92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  <w:vAlign w:val="top"/>
          </w:tcPr>
          <w:p w14:paraId="1244FB01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1.讲解健康教育伦理的含义、特点</w:t>
            </w:r>
          </w:p>
          <w:p w14:paraId="7B5E0BFC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61FEAC58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02269818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2.提供学生案例，让学生分析健康教育的伦理规范有哪些</w:t>
            </w:r>
          </w:p>
          <w:p w14:paraId="726B5CB9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1BD11920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3.结合学生分析结果及案例归纳讲健康教育的伦理规范</w:t>
            </w:r>
          </w:p>
          <w:p w14:paraId="3FBD941A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2462" w:type="dxa"/>
            <w:vAlign w:val="top"/>
          </w:tcPr>
          <w:p w14:paraId="66E77B1D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1.聆听、思考</w:t>
            </w:r>
          </w:p>
          <w:p w14:paraId="596B0749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7A03701B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70F0ADEC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5C4D2926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2.案例分析、小组讨论</w:t>
            </w:r>
          </w:p>
          <w:p w14:paraId="17307EBC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0DD792DF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222A3CF2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3.思考、启发回答、知识内化</w:t>
            </w:r>
          </w:p>
        </w:tc>
        <w:tc>
          <w:tcPr>
            <w:tcW w:w="3231" w:type="dxa"/>
            <w:vAlign w:val="top"/>
          </w:tcPr>
          <w:p w14:paraId="4970D1C7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按照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4"/>
              </w:rPr>
              <w:t>“含义”-“特点”</w:t>
            </w:r>
            <w:r>
              <w:rPr>
                <w:rFonts w:hint="eastAsia" w:ascii="仿宋" w:hAnsi="仿宋" w:eastAsia="仿宋" w:cs="仿宋"/>
                <w:sz w:val="24"/>
              </w:rPr>
              <w:t>的思路讲授健康教育的伦理内容，条例清楚，易于学生理解。</w:t>
            </w:r>
          </w:p>
          <w:p w14:paraId="082C8C2C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案例分析、小组讨论，学生积极参与，培养学生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4"/>
              </w:rPr>
              <w:t>思考问题、解决问题、团结协作的能力。</w:t>
            </w:r>
          </w:p>
          <w:p w14:paraId="300A3566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6B22962F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结合学生案例分析结果、教师归纳讲解使知识体系更完整，也易于学生理解和掌握。通过健康教育伦理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4"/>
              </w:rPr>
              <w:t>启发学生在护理工作中要做到对患者无微不至的关怀好健康教育。</w:t>
            </w:r>
          </w:p>
        </w:tc>
      </w:tr>
      <w:tr w14:paraId="03449D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vAlign w:val="top"/>
          </w:tcPr>
          <w:p w14:paraId="791B7AD0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总结  </w:t>
            </w:r>
          </w:p>
          <w:p w14:paraId="2E438196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                           </w:t>
            </w:r>
          </w:p>
          <w:p w14:paraId="6ECF336D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ascii="仿宋" w:hAnsi="仿宋" w:eastAsia="仿宋" w:cs="仿宋"/>
                <w:sz w:val="24"/>
              </w:rPr>
              <w:drawing>
                <wp:inline distT="0" distB="0" distL="114300" distR="114300">
                  <wp:extent cx="1028700" cy="1377950"/>
                  <wp:effectExtent l="0" t="0" r="0" b="12700"/>
                  <wp:docPr id="15" name="图片 11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1" descr="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t="22255" b="198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37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  <w:vAlign w:val="top"/>
          </w:tcPr>
          <w:p w14:paraId="1DF4D7EF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结合思维导图呈现本节课知识脉络和重点内容</w:t>
            </w:r>
          </w:p>
        </w:tc>
        <w:tc>
          <w:tcPr>
            <w:tcW w:w="2462" w:type="dxa"/>
            <w:vAlign w:val="top"/>
          </w:tcPr>
          <w:p w14:paraId="550C9EB3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</w:t>
            </w:r>
            <w:r>
              <w:rPr>
                <w:rFonts w:ascii="仿宋" w:hAnsi="仿宋" w:eastAsia="仿宋" w:cs="仿宋"/>
                <w:sz w:val="24"/>
              </w:rPr>
              <w:t>.</w:t>
            </w:r>
            <w:r>
              <w:rPr>
                <w:rFonts w:hint="eastAsia" w:ascii="仿宋" w:hAnsi="仿宋" w:eastAsia="仿宋" w:cs="仿宋"/>
                <w:sz w:val="24"/>
              </w:rPr>
              <w:t>回顾内容</w:t>
            </w:r>
          </w:p>
          <w:p w14:paraId="60311FAD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</w:t>
            </w:r>
            <w:r>
              <w:rPr>
                <w:rFonts w:ascii="仿宋" w:hAnsi="仿宋" w:eastAsia="仿宋" w:cs="仿宋"/>
                <w:sz w:val="24"/>
              </w:rPr>
              <w:t>.</w:t>
            </w:r>
            <w:r>
              <w:rPr>
                <w:rFonts w:hint="eastAsia" w:ascii="仿宋" w:hAnsi="仿宋" w:eastAsia="仿宋" w:cs="仿宋"/>
                <w:sz w:val="24"/>
              </w:rPr>
              <w:t>回答提问</w:t>
            </w:r>
          </w:p>
          <w:p w14:paraId="57992A34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29F4FE7C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36D39C9C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6F2BE409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01D82589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3231" w:type="dxa"/>
            <w:vAlign w:val="top"/>
          </w:tcPr>
          <w:p w14:paraId="5C249A69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通过总结讲授巩固知识。启发式教学，变学习被动为主动。互动式，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4"/>
              </w:rPr>
              <w:t>鼓励学生积极参与，激发学生潜能</w:t>
            </w:r>
            <w:r>
              <w:rPr>
                <w:rFonts w:hint="eastAsia"/>
                <w:b/>
                <w:bCs/>
                <w:color w:val="FF0000"/>
              </w:rPr>
              <w:t>。</w:t>
            </w:r>
          </w:p>
        </w:tc>
      </w:tr>
      <w:tr w14:paraId="5DC9B0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vAlign w:val="top"/>
          </w:tcPr>
          <w:p w14:paraId="7A54F25C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作业</w:t>
            </w:r>
            <w:r>
              <w:rPr>
                <w:rFonts w:ascii="仿宋" w:hAnsi="仿宋" w:eastAsia="仿宋" w:cs="仿宋"/>
                <w:sz w:val="24"/>
              </w:rPr>
              <w:t xml:space="preserve"> </w:t>
            </w:r>
          </w:p>
          <w:p w14:paraId="27E2B8E0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3FDB20BF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0F575A0A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3078" w:type="dxa"/>
            <w:vAlign w:val="top"/>
          </w:tcPr>
          <w:p w14:paraId="2525E170">
            <w:pPr>
              <w:numPr>
                <w:ilvl w:val="0"/>
                <w:numId w:val="5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课本上【直击护考】单元作业</w:t>
            </w:r>
          </w:p>
          <w:p w14:paraId="39465B2E">
            <w:pPr>
              <w:numPr>
                <w:ilvl w:val="0"/>
                <w:numId w:val="5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查阅职教云平台上案例分析资源</w:t>
            </w:r>
          </w:p>
        </w:tc>
        <w:tc>
          <w:tcPr>
            <w:tcW w:w="2462" w:type="dxa"/>
            <w:vAlign w:val="top"/>
          </w:tcPr>
          <w:p w14:paraId="5B24D737">
            <w:pPr>
              <w:numPr>
                <w:ilvl w:val="0"/>
                <w:numId w:val="6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做课后练习题</w:t>
            </w:r>
          </w:p>
          <w:p w14:paraId="2F613B36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0F26D184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2.查阅资源，进行案例分析和知识应用</w:t>
            </w:r>
          </w:p>
        </w:tc>
        <w:tc>
          <w:tcPr>
            <w:tcW w:w="3231" w:type="dxa"/>
            <w:vAlign w:val="top"/>
          </w:tcPr>
          <w:p w14:paraId="25237EF1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通过课后作业、查阅资源，加强对知识的巩固，案例分析资源可提升知识运用的能力，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4"/>
                <w:lang w:eastAsia="zh-Hans"/>
              </w:rPr>
              <w:t>培养学生的可持续发展能力。</w:t>
            </w:r>
          </w:p>
        </w:tc>
      </w:tr>
      <w:tr w14:paraId="7EB373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4"/>
            <w:shd w:val="clear" w:color="auto" w:fill="9CC2E5"/>
            <w:vAlign w:val="top"/>
          </w:tcPr>
          <w:p w14:paraId="1D73CE06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（三）课后强巩固</w:t>
            </w:r>
          </w:p>
        </w:tc>
      </w:tr>
      <w:tr w14:paraId="58A6B6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shd w:val="clear" w:color="auto" w:fill="DEEAF6"/>
            <w:vAlign w:val="top"/>
          </w:tcPr>
          <w:p w14:paraId="45704A76">
            <w:pPr>
              <w:spacing w:line="360" w:lineRule="auto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课后任务</w:t>
            </w:r>
          </w:p>
        </w:tc>
        <w:tc>
          <w:tcPr>
            <w:tcW w:w="3078" w:type="dxa"/>
            <w:shd w:val="clear" w:color="auto" w:fill="DEEAF6"/>
            <w:vAlign w:val="top"/>
          </w:tcPr>
          <w:p w14:paraId="7FE569CE">
            <w:pPr>
              <w:spacing w:line="360" w:lineRule="auto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教师活动</w:t>
            </w:r>
          </w:p>
        </w:tc>
        <w:tc>
          <w:tcPr>
            <w:tcW w:w="2462" w:type="dxa"/>
            <w:shd w:val="clear" w:color="auto" w:fill="DEEAF6"/>
            <w:vAlign w:val="top"/>
          </w:tcPr>
          <w:p w14:paraId="1F18F4FB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学生活动</w:t>
            </w:r>
          </w:p>
        </w:tc>
        <w:tc>
          <w:tcPr>
            <w:tcW w:w="3231" w:type="dxa"/>
            <w:shd w:val="clear" w:color="auto" w:fill="DEEAF6"/>
            <w:vAlign w:val="top"/>
          </w:tcPr>
          <w:p w14:paraId="1B7AFF74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设计意图</w:t>
            </w:r>
          </w:p>
        </w:tc>
      </w:tr>
      <w:tr w14:paraId="451752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vAlign w:val="top"/>
          </w:tcPr>
          <w:p w14:paraId="0EB1FAD3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1.完成课后作业</w:t>
            </w:r>
          </w:p>
        </w:tc>
        <w:tc>
          <w:tcPr>
            <w:tcW w:w="3078" w:type="dxa"/>
            <w:vAlign w:val="top"/>
          </w:tcPr>
          <w:p w14:paraId="5CF02819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ascii="仿宋" w:hAnsi="仿宋" w:eastAsia="仿宋" w:cs="仿宋"/>
                <w:sz w:val="24"/>
              </w:rPr>
              <w:t>1</w:t>
            </w:r>
            <w:r>
              <w:rPr>
                <w:rFonts w:hint="eastAsia" w:ascii="仿宋" w:hAnsi="仿宋" w:eastAsia="仿宋" w:cs="仿宋"/>
                <w:sz w:val="24"/>
              </w:rPr>
              <w:t>.发布课后作业任务要求</w:t>
            </w:r>
          </w:p>
        </w:tc>
        <w:tc>
          <w:tcPr>
            <w:tcW w:w="2462" w:type="dxa"/>
            <w:vAlign w:val="top"/>
          </w:tcPr>
          <w:p w14:paraId="043F30CF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1.初步完成课后作业</w:t>
            </w:r>
          </w:p>
        </w:tc>
        <w:tc>
          <w:tcPr>
            <w:tcW w:w="3231" w:type="dxa"/>
            <w:vAlign w:val="top"/>
          </w:tcPr>
          <w:p w14:paraId="074033FE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巩固学生所学，为下节课做准备，成绩纳入过程考核纳入过程性考核，旨在提升学生护理伦理意识</w:t>
            </w:r>
          </w:p>
        </w:tc>
      </w:tr>
      <w:tr w14:paraId="1941E8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vAlign w:val="top"/>
          </w:tcPr>
          <w:p w14:paraId="2AD7AB33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2.强化考点</w:t>
            </w:r>
          </w:p>
        </w:tc>
        <w:tc>
          <w:tcPr>
            <w:tcW w:w="3078" w:type="dxa"/>
            <w:vAlign w:val="top"/>
          </w:tcPr>
          <w:p w14:paraId="2ECF7D99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</w:t>
            </w:r>
            <w:r>
              <w:rPr>
                <w:rFonts w:hint="eastAsia" w:ascii="仿宋" w:hAnsi="仿宋" w:eastAsia="仿宋" w:cs="仿宋"/>
                <w:sz w:val="24"/>
                <w:lang w:eastAsia="zh-Hans"/>
              </w:rPr>
              <w:t>发布教学平台小测。</w:t>
            </w:r>
          </w:p>
        </w:tc>
        <w:tc>
          <w:tcPr>
            <w:tcW w:w="2462" w:type="dxa"/>
            <w:vAlign w:val="top"/>
          </w:tcPr>
          <w:p w14:paraId="691227A7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</w:t>
            </w:r>
            <w:r>
              <w:rPr>
                <w:rFonts w:hint="eastAsia" w:ascii="仿宋" w:hAnsi="仿宋" w:eastAsia="仿宋" w:cs="仿宋"/>
                <w:sz w:val="24"/>
                <w:lang w:eastAsia="zh-Hans"/>
              </w:rPr>
              <w:t>完成课后小测。由组长负责督导80分</w:t>
            </w:r>
            <w:r>
              <w:rPr>
                <w:rFonts w:hint="eastAsia" w:ascii="仿宋" w:hAnsi="仿宋" w:eastAsia="仿宋" w:cs="仿宋"/>
                <w:sz w:val="24"/>
              </w:rPr>
              <w:t>以下</w:t>
            </w:r>
            <w:r>
              <w:rPr>
                <w:rFonts w:hint="eastAsia" w:ascii="仿宋" w:hAnsi="仿宋" w:eastAsia="仿宋" w:cs="仿宋"/>
                <w:sz w:val="24"/>
                <w:lang w:eastAsia="zh-Hans"/>
              </w:rPr>
              <w:t>学生强化巩固知识点，直至课后小测达到良好</w:t>
            </w:r>
          </w:p>
        </w:tc>
        <w:tc>
          <w:tcPr>
            <w:tcW w:w="3231" w:type="dxa"/>
            <w:vAlign w:val="top"/>
          </w:tcPr>
          <w:p w14:paraId="78882009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  <w:lang w:eastAsia="zh-Hans"/>
              </w:rPr>
              <w:t>关注学生个体发展差异，形成班内良好的互帮互助互赶</w:t>
            </w:r>
            <w:r>
              <w:rPr>
                <w:rFonts w:hint="eastAsia" w:ascii="仿宋" w:hAnsi="仿宋" w:eastAsia="仿宋" w:cs="仿宋"/>
                <w:sz w:val="24"/>
              </w:rPr>
              <w:t>的</w:t>
            </w:r>
            <w:r>
              <w:rPr>
                <w:rFonts w:hint="eastAsia" w:ascii="仿宋" w:hAnsi="仿宋" w:eastAsia="仿宋" w:cs="仿宋"/>
                <w:sz w:val="24"/>
                <w:lang w:eastAsia="zh-Hans"/>
              </w:rPr>
              <w:t>教学局面</w:t>
            </w:r>
          </w:p>
        </w:tc>
      </w:tr>
      <w:tr w14:paraId="15A6DC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4"/>
            <w:shd w:val="clear" w:color="auto" w:fill="9CC2E5"/>
            <w:vAlign w:val="top"/>
          </w:tcPr>
          <w:p w14:paraId="107FE5FD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（四）课后反思</w:t>
            </w:r>
          </w:p>
        </w:tc>
      </w:tr>
      <w:tr w14:paraId="452C8D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4"/>
            <w:shd w:val="clear" w:color="auto" w:fill="FFFFFF"/>
            <w:vAlign w:val="top"/>
          </w:tcPr>
          <w:p w14:paraId="3D6D84F0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  <w:p w14:paraId="2D91B0B9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  <w:p w14:paraId="49357243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  <w:p w14:paraId="226D5201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  <w:p w14:paraId="693F870B">
            <w:pPr>
              <w:spacing w:line="360" w:lineRule="auto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bookmarkStart w:id="1" w:name="_GoBack"/>
            <w:bookmarkEnd w:id="1"/>
          </w:p>
        </w:tc>
      </w:tr>
    </w:tbl>
    <w:p w14:paraId="38E28D6C">
      <w:pPr>
        <w:rPr>
          <w:rFonts w:hint="eastAsia" w:ascii="仿宋" w:hAnsi="仿宋" w:eastAsia="仿宋" w:cs="仿宋"/>
          <w:b/>
          <w:bCs/>
          <w:sz w:val="32"/>
          <w:szCs w:val="32"/>
        </w:rPr>
      </w:pPr>
    </w:p>
    <w:sectPr>
      <w:pgSz w:w="11906" w:h="16838"/>
      <w:pgMar w:top="567" w:right="170" w:bottom="850" w:left="170" w:header="567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宋黑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PinYinok"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汉仪菱心体简">
    <w:panose1 w:val="02010400000101010101"/>
    <w:charset w:val="86"/>
    <w:family w:val="auto"/>
    <w:pitch w:val="default"/>
    <w:sig w:usb0="00000001" w:usb1="080E0800" w:usb2="00000002" w:usb3="00000000" w:csb0="00040000" w:csb1="00000000"/>
    <w:embedRegular r:id="rId1" w:fontKey="{7BC51DE8-E9B4-46BC-AE4F-12F8BA8883BD}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20C19EB6-A2E4-455A-88AD-C4A33BC60680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C28E3C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162560</wp:posOffset>
              </wp:positionH>
              <wp:positionV relativeFrom="paragraph">
                <wp:posOffset>-2540</wp:posOffset>
              </wp:positionV>
              <wp:extent cx="7019925" cy="9953625"/>
              <wp:effectExtent l="6350" t="6350" r="22225" b="22225"/>
              <wp:wrapNone/>
              <wp:docPr id="98" name="矩形 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19925" cy="9953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73000"/>
                        </a:srgbClr>
                      </a:solidFill>
                      <a:ln>
                        <a:solidFill>
                          <a:srgbClr val="7EC1E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2.8pt;margin-top:-0.2pt;height:783.75pt;width:552.75pt;z-index:251663360;v-text-anchor:middle;mso-width-relative:page;mso-height-relative:page;" fillcolor="#FFFFFF" filled="t" stroked="t" coordsize="21600,21600" o:gfxdata="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1gxEK2QAAAAoBAAAPAAAA&#10;AAAAAAEAIAAAACIAAABkcnMvZG93bnJldi54bWxQSwECFAAUAAAACACHTuJAUfTsz4YCAAAYBQAA&#10;DgAAAAAAAAABACAAAAAoAQAAZHJzL2Uyb0RvYy54bWxQSwUGAAAAAAYABgBZAQAAIAYAAAAA&#10;">
              <v:fill on="t" opacity="47841f" focussize="0,0"/>
              <v:stroke weight="1pt" color="#7EC1E1 [3204]" miterlimit="8" joinstyle="miter"/>
              <v:imagedata o:title=""/>
              <o:lock v:ext="edit" aspectratio="f"/>
            </v:rect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286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60288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-189230</wp:posOffset>
          </wp:positionH>
          <wp:positionV relativeFrom="paragraph">
            <wp:posOffset>-476250</wp:posOffset>
          </wp:positionV>
          <wp:extent cx="7640955" cy="10807700"/>
          <wp:effectExtent l="0" t="0" r="17145" b="12700"/>
          <wp:wrapNone/>
          <wp:docPr id="95" name="图片 95" descr="临床医生背景图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图片 95" descr="临床医生背景图片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40955" cy="1080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eastAsia="宋体"/>
        <w:lang w:eastAsia="zh-CN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3810" b="139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76D56191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B6F23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Theme="minorEastAsia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-224790</wp:posOffset>
          </wp:positionH>
          <wp:positionV relativeFrom="page">
            <wp:posOffset>0</wp:posOffset>
          </wp:positionV>
          <wp:extent cx="7676515" cy="7571105"/>
          <wp:effectExtent l="0" t="0" r="635" b="0"/>
          <wp:wrapNone/>
          <wp:docPr id="3" name="图片 3" descr="1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19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76515" cy="7571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1AB1591"/>
    <w:multiLevelType w:val="singleLevel"/>
    <w:tmpl w:val="B1AB159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F691E740"/>
    <w:multiLevelType w:val="singleLevel"/>
    <w:tmpl w:val="F691E740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2A281949"/>
    <w:multiLevelType w:val="singleLevel"/>
    <w:tmpl w:val="2A28194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61264D4F"/>
    <w:multiLevelType w:val="singleLevel"/>
    <w:tmpl w:val="61264D4F"/>
    <w:lvl w:ilvl="0" w:tentative="0">
      <w:start w:val="2"/>
      <w:numFmt w:val="decimal"/>
      <w:suff w:val="nothing"/>
      <w:lvlText w:val="%1."/>
      <w:lvlJc w:val="left"/>
    </w:lvl>
  </w:abstractNum>
  <w:abstractNum w:abstractNumId="4">
    <w:nsid w:val="61264DD6"/>
    <w:multiLevelType w:val="singleLevel"/>
    <w:tmpl w:val="61264DD6"/>
    <w:lvl w:ilvl="0" w:tentative="0">
      <w:start w:val="2"/>
      <w:numFmt w:val="decimal"/>
      <w:suff w:val="nothing"/>
      <w:lvlText w:val="%1."/>
      <w:lvlJc w:val="left"/>
    </w:lvl>
  </w:abstractNum>
  <w:abstractNum w:abstractNumId="5">
    <w:nsid w:val="6126ECCC"/>
    <w:multiLevelType w:val="singleLevel"/>
    <w:tmpl w:val="6126ECCC"/>
    <w:lvl w:ilvl="0" w:tentative="0">
      <w:start w:val="1"/>
      <w:numFmt w:val="decimal"/>
      <w:suff w:val="nothing"/>
      <w:lvlText w:val="%1."/>
      <w:lvlJc w:val="left"/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4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UwZDJhYjUyNWMyYTM4YmY1YzczYWE4MTIwOWE1NDY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AC91BFE"/>
    <w:rsid w:val="0AD76FA7"/>
    <w:rsid w:val="0E3C75E8"/>
    <w:rsid w:val="184F0EEE"/>
    <w:rsid w:val="1FB84519"/>
    <w:rsid w:val="2003061B"/>
    <w:rsid w:val="20F13C9B"/>
    <w:rsid w:val="238347DF"/>
    <w:rsid w:val="24B477DD"/>
    <w:rsid w:val="278141AB"/>
    <w:rsid w:val="28B578A7"/>
    <w:rsid w:val="2B937D0B"/>
    <w:rsid w:val="322A12C5"/>
    <w:rsid w:val="34AD60CD"/>
    <w:rsid w:val="34B67F89"/>
    <w:rsid w:val="368D542E"/>
    <w:rsid w:val="388B134B"/>
    <w:rsid w:val="3C1E0D2E"/>
    <w:rsid w:val="3C8D6DE4"/>
    <w:rsid w:val="436C72A2"/>
    <w:rsid w:val="43CD7F64"/>
    <w:rsid w:val="44B33A23"/>
    <w:rsid w:val="45C91BBA"/>
    <w:rsid w:val="49B62C9D"/>
    <w:rsid w:val="49F8701E"/>
    <w:rsid w:val="4C7F0E23"/>
    <w:rsid w:val="4DE374C2"/>
    <w:rsid w:val="533C039D"/>
    <w:rsid w:val="582E68E8"/>
    <w:rsid w:val="5A7C6694"/>
    <w:rsid w:val="5EE27322"/>
    <w:rsid w:val="5F076D88"/>
    <w:rsid w:val="5FFC3909"/>
    <w:rsid w:val="600E33E1"/>
    <w:rsid w:val="622A303A"/>
    <w:rsid w:val="701B1D7B"/>
    <w:rsid w:val="713D2886"/>
    <w:rsid w:val="723010AC"/>
    <w:rsid w:val="7E1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jpe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3.jpeg"/><Relationship Id="rId14" Type="http://schemas.openxmlformats.org/officeDocument/2006/relationships/image" Target="media/image12.jpe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2084</Words>
  <Characters>2142</Characters>
  <Lines>1</Lines>
  <Paragraphs>1</Paragraphs>
  <TotalTime>1</TotalTime>
  <ScaleCrop>false</ScaleCrop>
  <LinksUpToDate>false</LinksUpToDate>
  <CharactersWithSpaces>2464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2025-07-24T01:05:58Z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A08E0CD355F74F109FF3B13870987A9C_13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